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880" w:firstLineChars="200"/>
        <w:jc w:val="left"/>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克拉玛依市贝德化工有限责任公司</w:t>
      </w:r>
    </w:p>
    <w:p>
      <w:pPr>
        <w:spacing w:line="500" w:lineRule="exact"/>
        <w:ind w:firstLine="3520" w:firstLineChars="800"/>
        <w:jc w:val="both"/>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简</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介</w:t>
      </w:r>
    </w:p>
    <w:p>
      <w:pPr>
        <w:spacing w:line="500" w:lineRule="exact"/>
        <w:ind w:firstLine="560" w:firstLineChars="200"/>
        <w:jc w:val="left"/>
        <w:rPr>
          <w:rFonts w:hint="eastAsia"/>
          <w:sz w:val="28"/>
          <w:szCs w:val="28"/>
        </w:rPr>
      </w:pP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克拉玛依市贝德化工有限责任公司成立于2000年，2006年入住克拉玛依市石油化工工业园区，是一个以生产工业防腐涂料、润滑油、防冻液、采油助剂、钻井助剂、油田技术服务和油田物资贸易为主的经济实体。公司注册资金510万元，固定资产1020万元，厂区占地面积1.8万多平方米，有多年从事化工生产的专业技术人员7人（其中高级工程师1人，工程师3人）。在乌鲁木齐和南北疆分别设有乌鲁木齐市瑞纳尔化工贸易有限责任公司和各地州销售办事机构。</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经过多年发展，员工人数已由原来的7人发展到33人，现有库房面积1000多平方米，罐区储存量达6000多吨，依靠先进的生产、加工、检验、包装和存储设备，防腐涂料年生产能力已达4000吨/年。</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为提供更好的服务，公司备有各型皮卡车、油罐车、货车、小车等运输车辆多部，保证第一时间送货到位。</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公司的经营项目包括：工业防腐、防水涂料，高、中、低档润滑油，油田采油、钻井、水处理助剂，车用及工业用防冻液等近50余种，辅以相关的油田物资贸易，并提供专项的油田技术服务和防腐工程技术服务。</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2002年12月，“添擎”牌涂料取得中华人民共和国国家工商行政管理总局商标局注册商标；2004年3月，公司通过ISO9001-2000质量管理体系认证。</w:t>
      </w:r>
    </w:p>
    <w:p>
      <w:pPr>
        <w:spacing w:line="500" w:lineRule="exact"/>
        <w:ind w:firstLine="640" w:firstLineChars="200"/>
        <w:jc w:val="left"/>
        <w:rPr>
          <w:rFonts w:hint="eastAsia" w:ascii="仿宋_GB2312" w:hAnsi="仿宋_GB2312" w:eastAsia="仿宋_GB2312" w:cs="仿宋_GB2312"/>
          <w:sz w:val="32"/>
          <w:szCs w:val="32"/>
        </w:rPr>
        <w:sectPr>
          <w:footerReference r:id="rId3" w:type="default"/>
          <w:footerReference r:id="rId4" w:type="even"/>
          <w:pgSz w:w="11906" w:h="16838"/>
          <w:pgMar w:top="2381" w:right="1701" w:bottom="1928" w:left="1701" w:header="851" w:footer="992" w:gutter="0"/>
          <w:cols w:space="425" w:num="1"/>
          <w:docGrid w:type="lines" w:linePitch="312" w:charSpace="0"/>
        </w:sectPr>
      </w:pPr>
      <w:r>
        <w:rPr>
          <w:rFonts w:hint="eastAsia" w:ascii="仿宋_GB2312" w:hAnsi="仿宋_GB2312" w:eastAsia="仿宋_GB2312" w:cs="仿宋_GB2312"/>
          <w:sz w:val="32"/>
          <w:szCs w:val="32"/>
        </w:rPr>
        <w:t>我公司早已取得中国石油新疆油田市场二级准入证（工业</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防腐涂料），并为中石油物资供应准入单位。多年来一直供应物资，使用效果良好，并受到业主单位的一致好评。</w:t>
      </w:r>
    </w:p>
    <w:p>
      <w:pPr>
        <w:spacing w:line="500" w:lineRule="exact"/>
        <w:ind w:firstLine="640" w:firstLineChars="200"/>
        <w:jc w:val="left"/>
        <w:rPr>
          <w:rFonts w:hint="eastAsia" w:ascii="仿宋_GB2312" w:hAnsi="仿宋_GB2312" w:eastAsia="仿宋_GB2312" w:cs="仿宋_GB2312"/>
          <w:sz w:val="32"/>
          <w:szCs w:val="32"/>
          <w:lang w:eastAsia="zh-CN"/>
        </w:rPr>
      </w:pPr>
    </w:p>
    <w:p>
      <w:pPr>
        <w:spacing w:line="50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联系人：范丽娟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联系方式：</w:t>
      </w:r>
      <w:r>
        <w:rPr>
          <w:rFonts w:hint="eastAsia" w:ascii="仿宋_GB2312" w:hAnsi="仿宋_GB2312" w:eastAsia="仿宋_GB2312" w:cs="仿宋_GB2312"/>
          <w:sz w:val="32"/>
          <w:szCs w:val="32"/>
          <w:lang w:val="en-US" w:eastAsia="zh-CN"/>
        </w:rPr>
        <w:t>13899578109</w:t>
      </w:r>
    </w:p>
    <w:p>
      <w:pPr>
        <w:spacing w:line="500" w:lineRule="exact"/>
        <w:ind w:firstLine="640" w:firstLineChars="200"/>
        <w:jc w:val="left"/>
        <w:rPr>
          <w:rFonts w:hint="eastAsia" w:ascii="仿宋_GB2312" w:hAnsi="仿宋_GB2312" w:eastAsia="仿宋_GB2312" w:cs="仿宋_GB2312"/>
          <w:sz w:val="32"/>
          <w:szCs w:val="32"/>
          <w:lang w:val="en-US" w:eastAsia="zh-CN"/>
        </w:rPr>
      </w:pPr>
      <w:bookmarkStart w:id="0" w:name="_GoBack"/>
      <w:bookmarkEnd w:id="0"/>
    </w:p>
    <w:p>
      <w:pPr>
        <w:spacing w:line="500" w:lineRule="exact"/>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附企业实习岗位需求表：</w:t>
      </w:r>
    </w:p>
    <w:p>
      <w:pPr>
        <w:spacing w:line="500" w:lineRule="exact"/>
        <w:jc w:val="center"/>
        <w:rPr>
          <w:rFonts w:hint="eastAsia" w:ascii="仿宋_GB2312" w:hAnsi="仿宋_GB2312" w:eastAsia="仿宋_GB2312" w:cs="仿宋_GB2312"/>
          <w:b w:val="0"/>
          <w:bCs/>
          <w:sz w:val="48"/>
          <w:szCs w:val="48"/>
          <w:lang w:val="en-US" w:eastAsia="zh-CN"/>
        </w:rPr>
      </w:pPr>
      <w:r>
        <w:rPr>
          <w:rFonts w:ascii="宋体" w:hAnsi="宋体"/>
          <w:b w:val="0"/>
          <w:bCs/>
          <w:sz w:val="28"/>
          <w:szCs w:val="28"/>
        </w:rPr>
        <w:t>单位：</w:t>
      </w:r>
      <w:r>
        <w:rPr>
          <w:rFonts w:ascii="宋体" w:hAnsi="宋体"/>
          <w:b w:val="0"/>
          <w:bCs/>
          <w:sz w:val="28"/>
          <w:szCs w:val="28"/>
          <w:u w:val="single"/>
        </w:rPr>
        <w:t> </w:t>
      </w:r>
      <w:r>
        <w:rPr>
          <w:rFonts w:hint="eastAsia" w:ascii="宋体" w:hAnsi="宋体"/>
          <w:b w:val="0"/>
          <w:bCs/>
          <w:sz w:val="28"/>
          <w:szCs w:val="28"/>
          <w:u w:val="single"/>
        </w:rPr>
        <w:t>克拉玛依市贝德化工有限责任公司</w:t>
      </w:r>
    </w:p>
    <w:tbl>
      <w:tblPr>
        <w:tblStyle w:val="5"/>
        <w:tblpPr w:leftFromText="180" w:rightFromText="180" w:vertAnchor="text" w:horzAnchor="page" w:tblpX="1476" w:tblpY="140"/>
        <w:tblOverlap w:val="never"/>
        <w:tblW w:w="141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050"/>
        <w:gridCol w:w="1233"/>
        <w:gridCol w:w="1967"/>
        <w:gridCol w:w="3533"/>
        <w:gridCol w:w="2050"/>
        <w:gridCol w:w="1700"/>
        <w:gridCol w:w="1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序号</w:t>
            </w:r>
          </w:p>
        </w:tc>
        <w:tc>
          <w:tcPr>
            <w:tcW w:w="1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实习岗位名称</w:t>
            </w:r>
          </w:p>
        </w:tc>
        <w:tc>
          <w:tcPr>
            <w:tcW w:w="12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拟接收实习人员数</w:t>
            </w:r>
          </w:p>
        </w:tc>
        <w:tc>
          <w:tcPr>
            <w:tcW w:w="1967"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专业要求</w:t>
            </w:r>
          </w:p>
        </w:tc>
        <w:tc>
          <w:tcPr>
            <w:tcW w:w="35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主要实习内容</w:t>
            </w:r>
          </w:p>
        </w:tc>
        <w:tc>
          <w:tcPr>
            <w:tcW w:w="2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实习地点</w:t>
            </w:r>
          </w:p>
        </w:tc>
        <w:tc>
          <w:tcPr>
            <w:tcW w:w="170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食宿情况</w:t>
            </w:r>
          </w:p>
        </w:tc>
        <w:tc>
          <w:tcPr>
            <w:tcW w:w="193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薪资待遇（实习期及转正）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652"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1</w:t>
            </w:r>
          </w:p>
        </w:tc>
        <w:tc>
          <w:tcPr>
            <w:tcW w:w="1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化验员</w:t>
            </w:r>
          </w:p>
        </w:tc>
        <w:tc>
          <w:tcPr>
            <w:tcW w:w="12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2</w:t>
            </w:r>
          </w:p>
        </w:tc>
        <w:tc>
          <w:tcPr>
            <w:tcW w:w="1967"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化工专业</w:t>
            </w:r>
          </w:p>
        </w:tc>
        <w:tc>
          <w:tcPr>
            <w:tcW w:w="35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实践分析人员的相关规程与有关的安全技术</w:t>
            </w:r>
          </w:p>
        </w:tc>
        <w:tc>
          <w:tcPr>
            <w:tcW w:w="2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克拉玛依市高新区</w:t>
            </w:r>
          </w:p>
        </w:tc>
        <w:tc>
          <w:tcPr>
            <w:tcW w:w="170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包食宿</w:t>
            </w:r>
          </w:p>
        </w:tc>
        <w:tc>
          <w:tcPr>
            <w:tcW w:w="1930" w:type="dxa"/>
            <w:noWrap/>
            <w:vAlign w:val="center"/>
          </w:tcPr>
          <w:p>
            <w:pPr>
              <w:jc w:val="lef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实习期2000元/月，转正后按公司《工资标准》执行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652"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2</w:t>
            </w:r>
          </w:p>
        </w:tc>
        <w:tc>
          <w:tcPr>
            <w:tcW w:w="1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销售员</w:t>
            </w:r>
          </w:p>
        </w:tc>
        <w:tc>
          <w:tcPr>
            <w:tcW w:w="12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3</w:t>
            </w:r>
          </w:p>
        </w:tc>
        <w:tc>
          <w:tcPr>
            <w:tcW w:w="1967"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营销或化工专业</w:t>
            </w:r>
          </w:p>
        </w:tc>
        <w:tc>
          <w:tcPr>
            <w:tcW w:w="35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通过实践，掌握营销的技巧</w:t>
            </w:r>
          </w:p>
        </w:tc>
        <w:tc>
          <w:tcPr>
            <w:tcW w:w="2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克拉玛依市高新区</w:t>
            </w:r>
          </w:p>
        </w:tc>
        <w:tc>
          <w:tcPr>
            <w:tcW w:w="170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包食宿</w:t>
            </w:r>
          </w:p>
        </w:tc>
        <w:tc>
          <w:tcPr>
            <w:tcW w:w="1930" w:type="dxa"/>
            <w:noWrap/>
            <w:vAlign w:val="center"/>
          </w:tcPr>
          <w:p>
            <w:pPr>
              <w:jc w:val="lef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实习期2000元/月，转正后按公司《工资标准》执行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652"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3</w:t>
            </w:r>
          </w:p>
        </w:tc>
        <w:tc>
          <w:tcPr>
            <w:tcW w:w="1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库管</w:t>
            </w:r>
          </w:p>
        </w:tc>
        <w:tc>
          <w:tcPr>
            <w:tcW w:w="12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2</w:t>
            </w:r>
          </w:p>
        </w:tc>
        <w:tc>
          <w:tcPr>
            <w:tcW w:w="1967"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统计或物流专业</w:t>
            </w:r>
          </w:p>
        </w:tc>
        <w:tc>
          <w:tcPr>
            <w:tcW w:w="3533"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能过实践，掌握库存管理的知识</w:t>
            </w:r>
          </w:p>
        </w:tc>
        <w:tc>
          <w:tcPr>
            <w:tcW w:w="205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克拉玛依市高新区</w:t>
            </w:r>
          </w:p>
        </w:tc>
        <w:tc>
          <w:tcPr>
            <w:tcW w:w="1700" w:type="dxa"/>
            <w:noWrap/>
            <w:vAlign w:val="center"/>
          </w:tcPr>
          <w:p>
            <w:pPr>
              <w:jc w:val="cente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包食宿</w:t>
            </w:r>
          </w:p>
        </w:tc>
        <w:tc>
          <w:tcPr>
            <w:tcW w:w="1930" w:type="dxa"/>
            <w:noWrap/>
            <w:vAlign w:val="center"/>
          </w:tcPr>
          <w:p>
            <w:pPr>
              <w:jc w:val="left"/>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实习期2000元/月，转正后按公司《工资标准》执行</w:t>
            </w:r>
          </w:p>
        </w:tc>
      </w:tr>
    </w:tbl>
    <w:p>
      <w:pPr>
        <w:spacing w:line="500" w:lineRule="exact"/>
        <w:ind w:firstLine="640" w:firstLineChars="200"/>
        <w:jc w:val="left"/>
        <w:rPr>
          <w:rFonts w:hint="default" w:ascii="仿宋_GB2312" w:hAnsi="仿宋_GB2312" w:eastAsia="仿宋_GB2312" w:cs="仿宋_GB2312"/>
          <w:sz w:val="32"/>
          <w:szCs w:val="32"/>
          <w:lang w:val="en-US" w:eastAsia="zh-CN"/>
        </w:rPr>
      </w:pPr>
    </w:p>
    <w:sectPr>
      <w:pgSz w:w="16838" w:h="11906" w:orient="landscape"/>
      <w:pgMar w:top="1701" w:right="2381" w:bottom="1701" w:left="192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27D7"/>
    <w:rsid w:val="00087D1F"/>
    <w:rsid w:val="000A4113"/>
    <w:rsid w:val="000F119F"/>
    <w:rsid w:val="001C1C91"/>
    <w:rsid w:val="001D2749"/>
    <w:rsid w:val="00206A84"/>
    <w:rsid w:val="00235181"/>
    <w:rsid w:val="00285F58"/>
    <w:rsid w:val="00292DEA"/>
    <w:rsid w:val="002B1A82"/>
    <w:rsid w:val="002B24FE"/>
    <w:rsid w:val="002D5AF2"/>
    <w:rsid w:val="00364D5C"/>
    <w:rsid w:val="003D7818"/>
    <w:rsid w:val="00417745"/>
    <w:rsid w:val="00457FCE"/>
    <w:rsid w:val="004E2687"/>
    <w:rsid w:val="004F039D"/>
    <w:rsid w:val="005457E7"/>
    <w:rsid w:val="00580687"/>
    <w:rsid w:val="005C5EDD"/>
    <w:rsid w:val="005C6E20"/>
    <w:rsid w:val="00631633"/>
    <w:rsid w:val="00632F53"/>
    <w:rsid w:val="00651860"/>
    <w:rsid w:val="006D6A38"/>
    <w:rsid w:val="007A1CAF"/>
    <w:rsid w:val="00832153"/>
    <w:rsid w:val="008C77D1"/>
    <w:rsid w:val="009E4C72"/>
    <w:rsid w:val="00A32F83"/>
    <w:rsid w:val="00A6354B"/>
    <w:rsid w:val="00D027D7"/>
    <w:rsid w:val="00D4757B"/>
    <w:rsid w:val="00D952A9"/>
    <w:rsid w:val="00D978B6"/>
    <w:rsid w:val="00E83FA4"/>
    <w:rsid w:val="00EA5CEB"/>
    <w:rsid w:val="00F824DE"/>
    <w:rsid w:val="00FA0C57"/>
    <w:rsid w:val="2E4B374A"/>
    <w:rsid w:val="2F164DD2"/>
    <w:rsid w:val="30532E14"/>
    <w:rsid w:val="3B48002A"/>
    <w:rsid w:val="6C52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91</Words>
  <Characters>519</Characters>
  <Lines>4</Lines>
  <Paragraphs>1</Paragraphs>
  <TotalTime>0</TotalTime>
  <ScaleCrop>false</ScaleCrop>
  <LinksUpToDate>false</LinksUpToDate>
  <CharactersWithSpaces>609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2019-09-05T07:59:00Z</dcterms:created>
  <dc:creator>USER</dc:creator>
  <cp:lastModifiedBy>BJTZF012</cp:lastModifiedBy>
  <cp:lastPrinted>2011-08-17T10:22:00Z</cp:lastPrinted>
  <dcterms:modified xsi:type="dcterms:W3CDTF">2019-09-09T03:08:02Z</dcterms:modified>
  <dc:title>公司简介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